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A71" w:rsidRDefault="00210A71" w:rsidP="00210A71">
      <w:pPr>
        <w:spacing w:line="480" w:lineRule="auto"/>
        <w:jc w:val="center"/>
        <w:rPr>
          <w:rFonts w:ascii="Times New Roman" w:hAnsi="Times New Roman" w:cs="Times New Roman"/>
          <w:sz w:val="24"/>
          <w:szCs w:val="24"/>
        </w:rPr>
      </w:pPr>
    </w:p>
    <w:p w:rsidR="00210A71" w:rsidRDefault="00210A71" w:rsidP="00210A71">
      <w:pPr>
        <w:spacing w:line="480" w:lineRule="auto"/>
        <w:jc w:val="center"/>
        <w:rPr>
          <w:rFonts w:ascii="Times New Roman" w:hAnsi="Times New Roman" w:cs="Times New Roman"/>
          <w:sz w:val="24"/>
          <w:szCs w:val="24"/>
        </w:rPr>
      </w:pPr>
    </w:p>
    <w:p w:rsidR="00210A71" w:rsidRDefault="00210A71" w:rsidP="00210A71">
      <w:pPr>
        <w:spacing w:line="480" w:lineRule="auto"/>
        <w:jc w:val="center"/>
        <w:rPr>
          <w:rFonts w:ascii="Times New Roman" w:hAnsi="Times New Roman" w:cs="Times New Roman"/>
          <w:sz w:val="24"/>
          <w:szCs w:val="24"/>
        </w:rPr>
      </w:pPr>
    </w:p>
    <w:p w:rsidR="00210A71" w:rsidRDefault="00210A71" w:rsidP="00210A71">
      <w:pPr>
        <w:spacing w:line="480" w:lineRule="auto"/>
        <w:jc w:val="center"/>
        <w:rPr>
          <w:rFonts w:ascii="Times New Roman" w:hAnsi="Times New Roman" w:cs="Times New Roman"/>
          <w:sz w:val="24"/>
          <w:szCs w:val="24"/>
        </w:rPr>
      </w:pPr>
    </w:p>
    <w:p w:rsidR="00210A71" w:rsidRDefault="00210A71" w:rsidP="00210A71">
      <w:pPr>
        <w:spacing w:line="480" w:lineRule="auto"/>
        <w:jc w:val="center"/>
        <w:rPr>
          <w:rFonts w:ascii="Times New Roman" w:hAnsi="Times New Roman" w:cs="Times New Roman"/>
          <w:sz w:val="24"/>
          <w:szCs w:val="24"/>
        </w:rPr>
      </w:pPr>
    </w:p>
    <w:p w:rsidR="00210A71" w:rsidRDefault="00210A71" w:rsidP="00210A71">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Collapse</w:t>
      </w:r>
    </w:p>
    <w:p w:rsidR="00210A71" w:rsidRDefault="00210A71" w:rsidP="00210A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0A71" w:rsidRDefault="00210A71" w:rsidP="00210A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10A71" w:rsidRDefault="00210A71" w:rsidP="00210A7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10A71" w:rsidRDefault="00210A71" w:rsidP="00210A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210A71" w:rsidRDefault="00210A71" w:rsidP="00A260B3">
      <w:pPr>
        <w:spacing w:line="480" w:lineRule="auto"/>
        <w:rPr>
          <w:rFonts w:ascii="Times New Roman" w:hAnsi="Times New Roman" w:cs="Times New Roman"/>
          <w:sz w:val="24"/>
          <w:szCs w:val="24"/>
        </w:rPr>
      </w:pPr>
    </w:p>
    <w:p w:rsidR="00A260B3" w:rsidRPr="00210A71" w:rsidRDefault="00210A71" w:rsidP="00210A71">
      <w:pPr>
        <w:spacing w:line="480" w:lineRule="auto"/>
        <w:jc w:val="center"/>
        <w:rPr>
          <w:rFonts w:ascii="Times New Roman" w:hAnsi="Times New Roman" w:cs="Times New Roman"/>
          <w:b/>
          <w:sz w:val="24"/>
          <w:szCs w:val="24"/>
        </w:rPr>
      </w:pPr>
      <w:r w:rsidRPr="00210A71">
        <w:rPr>
          <w:rFonts w:ascii="Times New Roman" w:hAnsi="Times New Roman" w:cs="Times New Roman"/>
          <w:b/>
          <w:sz w:val="24"/>
          <w:szCs w:val="24"/>
        </w:rPr>
        <w:lastRenderedPageBreak/>
        <w:t xml:space="preserve">ENRON’S </w:t>
      </w:r>
      <w:r w:rsidR="00A260B3" w:rsidRPr="00210A71">
        <w:rPr>
          <w:rFonts w:ascii="Times New Roman" w:hAnsi="Times New Roman" w:cs="Times New Roman"/>
          <w:b/>
          <w:sz w:val="24"/>
          <w:szCs w:val="24"/>
        </w:rPr>
        <w:t>ETHICAL COLLAPSE</w:t>
      </w:r>
    </w:p>
    <w:p w:rsidR="00A260B3" w:rsidRDefault="008A5DE1"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collapse of Enron marks a good anatomy of a scandal whereby leadership ethics were missing in the company. In November 2001, Enron was declared bankrupt and such a period signified the beginning of a series of corporate scandals. The executives at WorldCom, Tyco, Adelphia, ImClone, and AOL Time Warner among others, coupled Enron officials as </w:t>
      </w:r>
      <w:r w:rsidR="00402FE9">
        <w:rPr>
          <w:rFonts w:ascii="Times New Roman" w:hAnsi="Times New Roman" w:cs="Times New Roman"/>
          <w:sz w:val="24"/>
          <w:szCs w:val="24"/>
        </w:rPr>
        <w:t xml:space="preserve">congressional hearings, criminal indictments, SEC probes, and stockholder lawsuits targets. However, given the troubles at Enron, that formed the </w:t>
      </w:r>
      <w:r w:rsidR="00402FE9" w:rsidRPr="00210A71">
        <w:rPr>
          <w:rFonts w:ascii="Times New Roman" w:hAnsi="Times New Roman" w:cs="Times New Roman"/>
          <w:noProof/>
          <w:sz w:val="24"/>
          <w:szCs w:val="24"/>
        </w:rPr>
        <w:t>cent</w:t>
      </w:r>
      <w:r w:rsidR="00210A71">
        <w:rPr>
          <w:rFonts w:ascii="Times New Roman" w:hAnsi="Times New Roman" w:cs="Times New Roman"/>
          <w:noProof/>
          <w:sz w:val="24"/>
          <w:szCs w:val="24"/>
        </w:rPr>
        <w:t>re</w:t>
      </w:r>
      <w:r w:rsidR="00402FE9">
        <w:rPr>
          <w:rFonts w:ascii="Times New Roman" w:hAnsi="Times New Roman" w:cs="Times New Roman"/>
          <w:sz w:val="24"/>
          <w:szCs w:val="24"/>
        </w:rPr>
        <w:t xml:space="preserve"> stage, were eventually pushed to the </w:t>
      </w:r>
      <w:r w:rsidR="00EF3FE6">
        <w:rPr>
          <w:rFonts w:ascii="Times New Roman" w:hAnsi="Times New Roman" w:cs="Times New Roman"/>
          <w:sz w:val="24"/>
          <w:szCs w:val="24"/>
        </w:rPr>
        <w:t xml:space="preserve">background through </w:t>
      </w:r>
      <w:r w:rsidR="00F629B5">
        <w:rPr>
          <w:rFonts w:ascii="Times New Roman" w:hAnsi="Times New Roman" w:cs="Times New Roman"/>
          <w:sz w:val="24"/>
          <w:szCs w:val="24"/>
        </w:rPr>
        <w:t>succeeding</w:t>
      </w:r>
      <w:r w:rsidR="00EF3FE6">
        <w:rPr>
          <w:rFonts w:ascii="Times New Roman" w:hAnsi="Times New Roman" w:cs="Times New Roman"/>
          <w:sz w:val="24"/>
          <w:szCs w:val="24"/>
        </w:rPr>
        <w:t xml:space="preserve"> corporate wrongdoing revelations. </w:t>
      </w:r>
    </w:p>
    <w:p w:rsidR="00EF3FE6" w:rsidRDefault="00EF3FE6"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Foremost, Enron officials abused the privileges and power they had. As a matter of fact, moral failure at the top was evidenced. According to Barresveld (2002), Enron’s collapse was perhaps drive</w:t>
      </w:r>
      <w:r w:rsidR="00884C6D">
        <w:rPr>
          <w:rFonts w:ascii="Times New Roman" w:hAnsi="Times New Roman" w:cs="Times New Roman"/>
          <w:sz w:val="24"/>
          <w:szCs w:val="24"/>
        </w:rPr>
        <w:t xml:space="preserve">n by </w:t>
      </w:r>
      <w:r w:rsidR="00884C6D" w:rsidRPr="00210A71">
        <w:rPr>
          <w:rFonts w:ascii="Times New Roman" w:hAnsi="Times New Roman" w:cs="Times New Roman"/>
          <w:noProof/>
          <w:sz w:val="24"/>
          <w:szCs w:val="24"/>
        </w:rPr>
        <w:t xml:space="preserve">the </w:t>
      </w:r>
      <w:r w:rsidR="00210A71">
        <w:rPr>
          <w:rFonts w:ascii="Times New Roman" w:hAnsi="Times New Roman" w:cs="Times New Roman"/>
          <w:noProof/>
          <w:sz w:val="24"/>
          <w:szCs w:val="24"/>
        </w:rPr>
        <w:t>failure of the investment</w:t>
      </w:r>
      <w:r w:rsidR="00884C6D">
        <w:rPr>
          <w:rFonts w:ascii="Times New Roman" w:hAnsi="Times New Roman" w:cs="Times New Roman"/>
          <w:sz w:val="24"/>
          <w:szCs w:val="24"/>
        </w:rPr>
        <w:t xml:space="preserve"> in the overseas projects, including the untangling of the Specia</w:t>
      </w:r>
      <w:r w:rsidR="00700111">
        <w:rPr>
          <w:rFonts w:ascii="Times New Roman" w:hAnsi="Times New Roman" w:cs="Times New Roman"/>
          <w:sz w:val="24"/>
          <w:szCs w:val="24"/>
        </w:rPr>
        <w:t xml:space="preserve">l Purpose Entities (SPEs)- a </w:t>
      </w:r>
      <w:r w:rsidR="00884C6D">
        <w:rPr>
          <w:rFonts w:ascii="Times New Roman" w:hAnsi="Times New Roman" w:cs="Times New Roman"/>
          <w:sz w:val="24"/>
          <w:szCs w:val="24"/>
        </w:rPr>
        <w:t xml:space="preserve">sequence of dubious limited partnerships. </w:t>
      </w:r>
      <w:r w:rsidR="002D254A">
        <w:rPr>
          <w:rFonts w:ascii="Times New Roman" w:hAnsi="Times New Roman" w:cs="Times New Roman"/>
          <w:sz w:val="24"/>
          <w:szCs w:val="24"/>
        </w:rPr>
        <w:t>Given that such SPEs were backed by the company’s stock and the insiders illegally run the</w:t>
      </w:r>
      <w:r w:rsidR="00700111">
        <w:rPr>
          <w:rFonts w:ascii="Times New Roman" w:hAnsi="Times New Roman" w:cs="Times New Roman"/>
          <w:sz w:val="24"/>
          <w:szCs w:val="24"/>
        </w:rPr>
        <w:t>m, they were designed to keep</w:t>
      </w:r>
      <w:r w:rsidR="002D254A">
        <w:rPr>
          <w:rFonts w:ascii="Times New Roman" w:hAnsi="Times New Roman" w:cs="Times New Roman"/>
          <w:sz w:val="24"/>
          <w:szCs w:val="24"/>
        </w:rPr>
        <w:t xml:space="preserve"> the balance sheets of the firm off</w:t>
      </w:r>
      <w:r w:rsidR="00700111">
        <w:rPr>
          <w:rFonts w:ascii="Times New Roman" w:hAnsi="Times New Roman" w:cs="Times New Roman"/>
          <w:sz w:val="24"/>
          <w:szCs w:val="24"/>
        </w:rPr>
        <w:t xml:space="preserve"> from</w:t>
      </w:r>
      <w:r w:rsidR="002D254A">
        <w:rPr>
          <w:rFonts w:ascii="Times New Roman" w:hAnsi="Times New Roman" w:cs="Times New Roman"/>
          <w:sz w:val="24"/>
          <w:szCs w:val="24"/>
        </w:rPr>
        <w:t xml:space="preserve"> debt and facilitated </w:t>
      </w:r>
      <w:r w:rsidR="00F629B5">
        <w:rPr>
          <w:rFonts w:ascii="Times New Roman" w:hAnsi="Times New Roman" w:cs="Times New Roman"/>
          <w:sz w:val="24"/>
          <w:szCs w:val="24"/>
        </w:rPr>
        <w:t>strengthening</w:t>
      </w:r>
      <w:r w:rsidR="002D254A">
        <w:rPr>
          <w:rFonts w:ascii="Times New Roman" w:hAnsi="Times New Roman" w:cs="Times New Roman"/>
          <w:sz w:val="24"/>
          <w:szCs w:val="24"/>
        </w:rPr>
        <w:t xml:space="preserve"> up its share price. </w:t>
      </w:r>
      <w:r w:rsidR="00F629B5">
        <w:rPr>
          <w:rFonts w:ascii="Times New Roman" w:hAnsi="Times New Roman" w:cs="Times New Roman"/>
          <w:sz w:val="24"/>
          <w:szCs w:val="24"/>
        </w:rPr>
        <w:t>Nevertheless, when Enron’s stock price started to slide, the firm was not able to subsidize its guarantees.</w:t>
      </w:r>
    </w:p>
    <w:p w:rsidR="00063548" w:rsidRDefault="00063548"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Enron officials also manipulated information in deceiving the public and protecting their personal interests. According to Einsenberg (2002), both the board and executive members claimed to be unconversant with the margin of Enron’s off-the-books partnerships developed and run by Kopper and Fastow. However, the officials had been cautioned that the firm’s accounting techniques were in suspense. </w:t>
      </w:r>
      <w:r w:rsidR="00755D73">
        <w:rPr>
          <w:rFonts w:ascii="Times New Roman" w:hAnsi="Times New Roman" w:cs="Times New Roman"/>
          <w:sz w:val="24"/>
          <w:szCs w:val="24"/>
        </w:rPr>
        <w:t xml:space="preserve">A concluded investigation concerning Enron’s downfall shows that most of what went wrong with the company was best known to the board officials. The members precisely waived the clause about conflict interest as stipulated in the firm’s code of ethics that </w:t>
      </w:r>
      <w:r w:rsidR="00755D73">
        <w:rPr>
          <w:rFonts w:ascii="Times New Roman" w:hAnsi="Times New Roman" w:cs="Times New Roman"/>
          <w:sz w:val="24"/>
          <w:szCs w:val="24"/>
        </w:rPr>
        <w:lastRenderedPageBreak/>
        <w:t xml:space="preserve">could have discouraged the development of some disturbing special partnerships. </w:t>
      </w:r>
      <w:r w:rsidR="00556F17">
        <w:rPr>
          <w:rFonts w:ascii="Times New Roman" w:hAnsi="Times New Roman" w:cs="Times New Roman"/>
          <w:sz w:val="24"/>
          <w:szCs w:val="24"/>
        </w:rPr>
        <w:t xml:space="preserve">Nevertheless, employees quickly </w:t>
      </w:r>
      <w:r w:rsidR="00556F17" w:rsidRPr="00210A71">
        <w:rPr>
          <w:rFonts w:ascii="Times New Roman" w:hAnsi="Times New Roman" w:cs="Times New Roman"/>
          <w:noProof/>
          <w:sz w:val="24"/>
          <w:szCs w:val="24"/>
        </w:rPr>
        <w:t>ad</w:t>
      </w:r>
      <w:r w:rsidR="00210A71">
        <w:rPr>
          <w:rFonts w:ascii="Times New Roman" w:hAnsi="Times New Roman" w:cs="Times New Roman"/>
          <w:noProof/>
          <w:sz w:val="24"/>
          <w:szCs w:val="24"/>
        </w:rPr>
        <w:t>a</w:t>
      </w:r>
      <w:r w:rsidR="00556F17" w:rsidRPr="00210A71">
        <w:rPr>
          <w:rFonts w:ascii="Times New Roman" w:hAnsi="Times New Roman" w:cs="Times New Roman"/>
          <w:noProof/>
          <w:sz w:val="24"/>
          <w:szCs w:val="24"/>
        </w:rPr>
        <w:t>pted</w:t>
      </w:r>
      <w:r w:rsidR="00556F17">
        <w:rPr>
          <w:rFonts w:ascii="Times New Roman" w:hAnsi="Times New Roman" w:cs="Times New Roman"/>
          <w:sz w:val="24"/>
          <w:szCs w:val="24"/>
        </w:rPr>
        <w:t xml:space="preserve"> </w:t>
      </w:r>
      <w:r w:rsidR="00556F17" w:rsidRPr="00210A71">
        <w:rPr>
          <w:rFonts w:ascii="Times New Roman" w:hAnsi="Times New Roman" w:cs="Times New Roman"/>
          <w:noProof/>
          <w:sz w:val="24"/>
          <w:szCs w:val="24"/>
        </w:rPr>
        <w:t>to</w:t>
      </w:r>
      <w:r w:rsidR="00556F17">
        <w:rPr>
          <w:rFonts w:ascii="Times New Roman" w:hAnsi="Times New Roman" w:cs="Times New Roman"/>
          <w:sz w:val="24"/>
          <w:szCs w:val="24"/>
        </w:rPr>
        <w:t xml:space="preserve"> the leadership of the top officials in the company. As a result, the workers claimed nonexistent profits, hid the expenses, and deceived the regulators of energy among other issues. </w:t>
      </w:r>
    </w:p>
    <w:p w:rsidR="00F629B5" w:rsidRDefault="0001470B"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issue is that there was an inconsistent treatment between the company’s external and internal constituencies. Gross inconsistencies, however, marked Enron’s relationships with its outsiders and employees. For example, average employ</w:t>
      </w:r>
      <w:r w:rsidR="00181116">
        <w:rPr>
          <w:rFonts w:ascii="Times New Roman" w:hAnsi="Times New Roman" w:cs="Times New Roman"/>
          <w:sz w:val="24"/>
          <w:szCs w:val="24"/>
        </w:rPr>
        <w:t>ees were forcefully made to confer</w:t>
      </w:r>
      <w:r>
        <w:rPr>
          <w:rFonts w:ascii="Times New Roman" w:hAnsi="Times New Roman" w:cs="Times New Roman"/>
          <w:sz w:val="24"/>
          <w:szCs w:val="24"/>
        </w:rPr>
        <w:t xml:space="preserve"> their retirement </w:t>
      </w:r>
      <w:r w:rsidR="00181116">
        <w:rPr>
          <w:rFonts w:ascii="Times New Roman" w:hAnsi="Times New Roman" w:cs="Times New Roman"/>
          <w:sz w:val="24"/>
          <w:szCs w:val="24"/>
        </w:rPr>
        <w:t xml:space="preserve">plans in the company’s stock despite being prohibited from selling their shares within the significant time when the stock reported a free fall. On the other hand, the top officials went ahead and unloaded their shares as they had planned. The firm royally treated its friends. In particular, Enron used political donations to attract preferential treatment </w:t>
      </w:r>
      <w:r w:rsidR="00A81D8B">
        <w:rPr>
          <w:rFonts w:ascii="Times New Roman" w:hAnsi="Times New Roman" w:cs="Times New Roman"/>
          <w:sz w:val="24"/>
          <w:szCs w:val="24"/>
        </w:rPr>
        <w:t xml:space="preserve">among the government agencies. </w:t>
      </w:r>
    </w:p>
    <w:p w:rsidR="00722DC2" w:rsidRDefault="00722DC2"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Apparently, Enron officials broke and </w:t>
      </w:r>
      <w:r w:rsidRPr="00CD49F4">
        <w:rPr>
          <w:rFonts w:ascii="Times New Roman" w:hAnsi="Times New Roman" w:cs="Times New Roman"/>
          <w:noProof/>
          <w:sz w:val="24"/>
          <w:szCs w:val="24"/>
        </w:rPr>
        <w:t>misp</w:t>
      </w:r>
      <w:r w:rsidR="00CD49F4">
        <w:rPr>
          <w:rFonts w:ascii="Times New Roman" w:hAnsi="Times New Roman" w:cs="Times New Roman"/>
          <w:noProof/>
          <w:sz w:val="24"/>
          <w:szCs w:val="24"/>
        </w:rPr>
        <w:t>la</w:t>
      </w:r>
      <w:r w:rsidRPr="00CD49F4">
        <w:rPr>
          <w:rFonts w:ascii="Times New Roman" w:hAnsi="Times New Roman" w:cs="Times New Roman"/>
          <w:noProof/>
          <w:sz w:val="24"/>
          <w:szCs w:val="24"/>
        </w:rPr>
        <w:t>ced</w:t>
      </w:r>
      <w:r>
        <w:rPr>
          <w:rFonts w:ascii="Times New Roman" w:hAnsi="Times New Roman" w:cs="Times New Roman"/>
          <w:sz w:val="24"/>
          <w:szCs w:val="24"/>
        </w:rPr>
        <w:t xml:space="preserve"> the loyalties through putting their loyalty above than those of the others with a stake in the firm’s fate- business partners, local communities, </w:t>
      </w:r>
      <w:r w:rsidRPr="00CD49F4">
        <w:rPr>
          <w:rFonts w:ascii="Times New Roman" w:hAnsi="Times New Roman" w:cs="Times New Roman"/>
          <w:noProof/>
          <w:sz w:val="24"/>
          <w:szCs w:val="24"/>
        </w:rPr>
        <w:t>ratepayers</w:t>
      </w:r>
      <w:r>
        <w:rPr>
          <w:rFonts w:ascii="Times New Roman" w:hAnsi="Times New Roman" w:cs="Times New Roman"/>
          <w:sz w:val="24"/>
          <w:szCs w:val="24"/>
        </w:rPr>
        <w:t xml:space="preserve">, and foreign governments, among others. Also, the officials betrayed the thrust belonging to their junior staff. Workers apparently believed in the firm and the optimistic pronunciations from some of the top officials. For example, in August 2001, one of the top officials announced that he has never felt better concerning the company’s prospects. During the end of September, the same year, the same official was heard encouraging the other workers to “talk up the stock” since he claimed that the firm was </w:t>
      </w:r>
      <w:r w:rsidR="00537EA1">
        <w:rPr>
          <w:rFonts w:ascii="Times New Roman" w:hAnsi="Times New Roman" w:cs="Times New Roman"/>
          <w:sz w:val="24"/>
          <w:szCs w:val="24"/>
        </w:rPr>
        <w:t>“</w:t>
      </w:r>
      <w:r>
        <w:rPr>
          <w:rFonts w:ascii="Times New Roman" w:hAnsi="Times New Roman" w:cs="Times New Roman"/>
          <w:sz w:val="24"/>
          <w:szCs w:val="24"/>
        </w:rPr>
        <w:t>fundamentally sound”</w:t>
      </w:r>
      <w:r w:rsidR="00537EA1">
        <w:rPr>
          <w:rFonts w:ascii="Times New Roman" w:hAnsi="Times New Roman" w:cs="Times New Roman"/>
          <w:sz w:val="24"/>
          <w:szCs w:val="24"/>
        </w:rPr>
        <w:t xml:space="preserve"> Such exhortations developed as that official was unloading his personal shares. The betrayal sense encountered by Enron workers only heightened to the pain of losing their retirement savings and jobs. </w:t>
      </w:r>
    </w:p>
    <w:p w:rsidR="00537EA1" w:rsidRDefault="00537EA1"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Nevertheless, Enron leaders also acted irresponsibly </w:t>
      </w:r>
      <w:r w:rsidR="00CD49F4">
        <w:rPr>
          <w:rFonts w:ascii="Times New Roman" w:hAnsi="Times New Roman" w:cs="Times New Roman"/>
          <w:noProof/>
          <w:sz w:val="24"/>
          <w:szCs w:val="24"/>
        </w:rPr>
        <w:t>by</w:t>
      </w:r>
      <w:r>
        <w:rPr>
          <w:rFonts w:ascii="Times New Roman" w:hAnsi="Times New Roman" w:cs="Times New Roman"/>
          <w:sz w:val="24"/>
          <w:szCs w:val="24"/>
        </w:rPr>
        <w:t xml:space="preserve"> failing to take the required action, to implement the appropriate oversight, and shouldering responsibility concerning the ethical miscues within the firm. The CEO, for example, downplayed the financial improprieties’ warnings but various members of the board failed to understand the operations of the firm. Often, the firm managers allowed workers to t</w:t>
      </w:r>
      <w:r w:rsidR="00BA5DA9">
        <w:rPr>
          <w:rFonts w:ascii="Times New Roman" w:hAnsi="Times New Roman" w:cs="Times New Roman"/>
          <w:sz w:val="24"/>
          <w:szCs w:val="24"/>
        </w:rPr>
        <w:t xml:space="preserve">heir devices. Such an act encouraged the employees to establish their numbers through any possible opportunity. However, nobody stepped forward in accepting the blame even after the company’s collapse. </w:t>
      </w:r>
    </w:p>
    <w:p w:rsidR="002A7423" w:rsidRDefault="00A81D8B" w:rsidP="00210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Enron’s top officials abused their privileges and power. Also, </w:t>
      </w:r>
      <w:r w:rsidR="002A7423">
        <w:rPr>
          <w:rFonts w:ascii="Times New Roman" w:hAnsi="Times New Roman" w:cs="Times New Roman"/>
          <w:sz w:val="24"/>
          <w:szCs w:val="24"/>
        </w:rPr>
        <w:t xml:space="preserve">the executive and board members manipulated the information whenever participating in external and internal constituencies’ inconsistent treatment. Such leaders valued their own interests more than those of the public and the other workers; hence, they failed in exercising the appropriate shoulder responsibility or oversight for the ethical fails. Sadly, the followers too had quickly followed their move. </w:t>
      </w:r>
    </w:p>
    <w:p w:rsidR="00210A71" w:rsidRDefault="00210A71" w:rsidP="00210A71">
      <w:pPr>
        <w:spacing w:line="480" w:lineRule="auto"/>
        <w:jc w:val="center"/>
        <w:rPr>
          <w:rFonts w:ascii="Times New Roman" w:hAnsi="Times New Roman" w:cs="Times New Roman"/>
          <w:b/>
          <w:sz w:val="24"/>
          <w:szCs w:val="24"/>
        </w:rPr>
      </w:pPr>
    </w:p>
    <w:p w:rsidR="00210A71" w:rsidRDefault="00210A71" w:rsidP="00210A71">
      <w:pPr>
        <w:spacing w:line="480" w:lineRule="auto"/>
        <w:jc w:val="center"/>
        <w:rPr>
          <w:rFonts w:ascii="Times New Roman" w:hAnsi="Times New Roman" w:cs="Times New Roman"/>
          <w:b/>
          <w:sz w:val="24"/>
          <w:szCs w:val="24"/>
        </w:rPr>
      </w:pPr>
    </w:p>
    <w:p w:rsidR="00210A71" w:rsidRDefault="00210A71" w:rsidP="00210A71">
      <w:pPr>
        <w:spacing w:line="480" w:lineRule="auto"/>
        <w:jc w:val="center"/>
        <w:rPr>
          <w:rFonts w:ascii="Times New Roman" w:hAnsi="Times New Roman" w:cs="Times New Roman"/>
          <w:b/>
          <w:sz w:val="24"/>
          <w:szCs w:val="24"/>
        </w:rPr>
      </w:pPr>
    </w:p>
    <w:p w:rsidR="00210A71" w:rsidRDefault="00210A71" w:rsidP="00210A71">
      <w:pPr>
        <w:spacing w:line="480" w:lineRule="auto"/>
        <w:jc w:val="center"/>
        <w:rPr>
          <w:rFonts w:ascii="Times New Roman" w:hAnsi="Times New Roman" w:cs="Times New Roman"/>
          <w:b/>
          <w:sz w:val="24"/>
          <w:szCs w:val="24"/>
        </w:rPr>
      </w:pPr>
    </w:p>
    <w:p w:rsidR="00CD49F4" w:rsidRDefault="00CD49F4" w:rsidP="00210A71">
      <w:pPr>
        <w:spacing w:line="480" w:lineRule="auto"/>
        <w:jc w:val="center"/>
        <w:rPr>
          <w:rFonts w:ascii="Times New Roman" w:hAnsi="Times New Roman" w:cs="Times New Roman"/>
          <w:b/>
          <w:sz w:val="24"/>
          <w:szCs w:val="24"/>
        </w:rPr>
      </w:pPr>
    </w:p>
    <w:p w:rsidR="00CD49F4" w:rsidRDefault="00CD49F4" w:rsidP="00210A71">
      <w:pPr>
        <w:spacing w:line="480" w:lineRule="auto"/>
        <w:jc w:val="center"/>
        <w:rPr>
          <w:rFonts w:ascii="Times New Roman" w:hAnsi="Times New Roman" w:cs="Times New Roman"/>
          <w:b/>
          <w:sz w:val="24"/>
          <w:szCs w:val="24"/>
        </w:rPr>
      </w:pPr>
    </w:p>
    <w:p w:rsidR="00CD49F4" w:rsidRDefault="00CD49F4" w:rsidP="00210A71">
      <w:pPr>
        <w:spacing w:line="480" w:lineRule="auto"/>
        <w:jc w:val="center"/>
        <w:rPr>
          <w:rFonts w:ascii="Times New Roman" w:hAnsi="Times New Roman" w:cs="Times New Roman"/>
          <w:b/>
          <w:sz w:val="24"/>
          <w:szCs w:val="24"/>
        </w:rPr>
      </w:pPr>
    </w:p>
    <w:p w:rsidR="00CD49F4" w:rsidRDefault="00CD49F4" w:rsidP="00210A71">
      <w:pPr>
        <w:spacing w:line="480" w:lineRule="auto"/>
        <w:jc w:val="center"/>
        <w:rPr>
          <w:rFonts w:ascii="Times New Roman" w:hAnsi="Times New Roman" w:cs="Times New Roman"/>
          <w:b/>
          <w:sz w:val="24"/>
          <w:szCs w:val="24"/>
        </w:rPr>
      </w:pPr>
    </w:p>
    <w:p w:rsidR="002A7423" w:rsidRDefault="002A7423" w:rsidP="00210A71">
      <w:pPr>
        <w:spacing w:line="480" w:lineRule="auto"/>
        <w:jc w:val="center"/>
        <w:rPr>
          <w:rFonts w:ascii="Times New Roman" w:hAnsi="Times New Roman" w:cs="Times New Roman"/>
          <w:b/>
          <w:sz w:val="24"/>
          <w:szCs w:val="24"/>
        </w:rPr>
      </w:pPr>
      <w:bookmarkStart w:id="0" w:name="_GoBack"/>
      <w:bookmarkEnd w:id="0"/>
      <w:r w:rsidRPr="002A7423">
        <w:rPr>
          <w:rFonts w:ascii="Times New Roman" w:hAnsi="Times New Roman" w:cs="Times New Roman"/>
          <w:b/>
          <w:sz w:val="24"/>
          <w:szCs w:val="24"/>
        </w:rPr>
        <w:lastRenderedPageBreak/>
        <w:t>References</w:t>
      </w:r>
    </w:p>
    <w:p w:rsidR="002A7423" w:rsidRPr="002A7423" w:rsidRDefault="002A7423" w:rsidP="002A7423">
      <w:pPr>
        <w:spacing w:line="480" w:lineRule="auto"/>
        <w:ind w:left="720" w:hanging="720"/>
        <w:rPr>
          <w:rFonts w:ascii="Times New Roman" w:hAnsi="Times New Roman" w:cs="Times New Roman"/>
          <w:sz w:val="24"/>
          <w:szCs w:val="24"/>
        </w:rPr>
      </w:pPr>
      <w:r w:rsidRPr="002A7423">
        <w:rPr>
          <w:rFonts w:ascii="Times New Roman" w:hAnsi="Times New Roman" w:cs="Times New Roman"/>
          <w:sz w:val="24"/>
          <w:szCs w:val="24"/>
        </w:rPr>
        <w:t xml:space="preserve">Barreveld, D. J. (2002). </w:t>
      </w:r>
      <w:r w:rsidRPr="002A7423">
        <w:rPr>
          <w:rFonts w:ascii="Times New Roman" w:hAnsi="Times New Roman" w:cs="Times New Roman"/>
          <w:i/>
          <w:sz w:val="24"/>
          <w:szCs w:val="24"/>
        </w:rPr>
        <w:t>The Enron collapse: Creative accounting, wrong economics or criminal acts?</w:t>
      </w:r>
      <w:r w:rsidRPr="002A7423">
        <w:rPr>
          <w:rFonts w:ascii="Times New Roman" w:hAnsi="Times New Roman" w:cs="Times New Roman"/>
          <w:sz w:val="24"/>
          <w:szCs w:val="24"/>
        </w:rPr>
        <w:t xml:space="preserve"> San Jose, CA: Writers Club Press.</w:t>
      </w:r>
    </w:p>
    <w:p w:rsidR="002A7423" w:rsidRPr="002A7423" w:rsidRDefault="002A7423" w:rsidP="002A7423">
      <w:pPr>
        <w:spacing w:line="480" w:lineRule="auto"/>
        <w:ind w:left="720" w:hanging="720"/>
        <w:rPr>
          <w:rFonts w:ascii="Times New Roman" w:hAnsi="Times New Roman" w:cs="Times New Roman"/>
          <w:b/>
          <w:sz w:val="24"/>
          <w:szCs w:val="24"/>
        </w:rPr>
      </w:pPr>
      <w:r w:rsidRPr="002A7423">
        <w:rPr>
          <w:rFonts w:ascii="Times New Roman" w:hAnsi="Times New Roman" w:cs="Times New Roman"/>
          <w:sz w:val="24"/>
          <w:szCs w:val="24"/>
        </w:rPr>
        <w:t xml:space="preserve">Eisenberg, D. (2002, February 21). Ignorant &amp; Poor? </w:t>
      </w:r>
      <w:r w:rsidRPr="002A7423">
        <w:rPr>
          <w:rFonts w:ascii="Times New Roman" w:hAnsi="Times New Roman" w:cs="Times New Roman"/>
          <w:i/>
          <w:sz w:val="24"/>
          <w:szCs w:val="24"/>
        </w:rPr>
        <w:t>Time</w:t>
      </w:r>
      <w:r w:rsidRPr="002A7423">
        <w:rPr>
          <w:rFonts w:ascii="Times New Roman" w:hAnsi="Times New Roman" w:cs="Times New Roman"/>
          <w:sz w:val="24"/>
          <w:szCs w:val="24"/>
        </w:rPr>
        <w:t>, pp. 37-39.</w:t>
      </w:r>
    </w:p>
    <w:sectPr w:rsidR="002A7423" w:rsidRPr="002A7423" w:rsidSect="00210A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8BA" w:rsidRDefault="001038BA" w:rsidP="00210A71">
      <w:pPr>
        <w:spacing w:after="0" w:line="240" w:lineRule="auto"/>
      </w:pPr>
      <w:r>
        <w:separator/>
      </w:r>
    </w:p>
  </w:endnote>
  <w:endnote w:type="continuationSeparator" w:id="0">
    <w:p w:rsidR="001038BA" w:rsidRDefault="001038BA" w:rsidP="00210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8BA" w:rsidRDefault="001038BA" w:rsidP="00210A71">
      <w:pPr>
        <w:spacing w:after="0" w:line="240" w:lineRule="auto"/>
      </w:pPr>
      <w:r>
        <w:separator/>
      </w:r>
    </w:p>
  </w:footnote>
  <w:footnote w:type="continuationSeparator" w:id="0">
    <w:p w:rsidR="001038BA" w:rsidRDefault="001038BA" w:rsidP="00210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A71" w:rsidRPr="00210A71" w:rsidRDefault="00210A71">
    <w:pPr>
      <w:pStyle w:val="Header"/>
      <w:jc w:val="right"/>
      <w:rPr>
        <w:rFonts w:ascii="Times New Roman" w:hAnsi="Times New Roman" w:cs="Times New Roman"/>
        <w:sz w:val="24"/>
        <w:szCs w:val="24"/>
      </w:rPr>
    </w:pPr>
    <w:r w:rsidRPr="00210A71">
      <w:rPr>
        <w:rFonts w:ascii="Times New Roman" w:hAnsi="Times New Roman" w:cs="Times New Roman"/>
        <w:sz w:val="24"/>
        <w:szCs w:val="24"/>
      </w:rPr>
      <w:t>ETHICAL COLLAPSE</w:t>
    </w:r>
    <w:r w:rsidRPr="00210A71">
      <w:rPr>
        <w:rFonts w:ascii="Times New Roman" w:hAnsi="Times New Roman" w:cs="Times New Roman"/>
        <w:sz w:val="24"/>
        <w:szCs w:val="24"/>
      </w:rPr>
      <w:tab/>
    </w:r>
    <w:r w:rsidRPr="00210A71">
      <w:rPr>
        <w:rFonts w:ascii="Times New Roman" w:hAnsi="Times New Roman" w:cs="Times New Roman"/>
        <w:sz w:val="24"/>
        <w:szCs w:val="24"/>
      </w:rPr>
      <w:tab/>
    </w:r>
    <w:sdt>
      <w:sdtPr>
        <w:rPr>
          <w:rFonts w:ascii="Times New Roman" w:hAnsi="Times New Roman" w:cs="Times New Roman"/>
          <w:sz w:val="24"/>
          <w:szCs w:val="24"/>
        </w:rPr>
        <w:id w:val="-1229303528"/>
        <w:docPartObj>
          <w:docPartGallery w:val="Page Numbers (Top of Page)"/>
          <w:docPartUnique/>
        </w:docPartObj>
      </w:sdtPr>
      <w:sdtEndPr>
        <w:rPr>
          <w:noProof/>
        </w:rPr>
      </w:sdtEndPr>
      <w:sdtContent>
        <w:r w:rsidRPr="00210A71">
          <w:rPr>
            <w:rFonts w:ascii="Times New Roman" w:hAnsi="Times New Roman" w:cs="Times New Roman"/>
            <w:sz w:val="24"/>
            <w:szCs w:val="24"/>
          </w:rPr>
          <w:fldChar w:fldCharType="begin"/>
        </w:r>
        <w:r w:rsidRPr="00210A71">
          <w:rPr>
            <w:rFonts w:ascii="Times New Roman" w:hAnsi="Times New Roman" w:cs="Times New Roman"/>
            <w:sz w:val="24"/>
            <w:szCs w:val="24"/>
          </w:rPr>
          <w:instrText xml:space="preserve"> PAGE   \* MERGEFORMAT </w:instrText>
        </w:r>
        <w:r w:rsidRPr="00210A71">
          <w:rPr>
            <w:rFonts w:ascii="Times New Roman" w:hAnsi="Times New Roman" w:cs="Times New Roman"/>
            <w:sz w:val="24"/>
            <w:szCs w:val="24"/>
          </w:rPr>
          <w:fldChar w:fldCharType="separate"/>
        </w:r>
        <w:r w:rsidR="00CD49F4">
          <w:rPr>
            <w:rFonts w:ascii="Times New Roman" w:hAnsi="Times New Roman" w:cs="Times New Roman"/>
            <w:noProof/>
            <w:sz w:val="24"/>
            <w:szCs w:val="24"/>
          </w:rPr>
          <w:t>5</w:t>
        </w:r>
        <w:r w:rsidRPr="00210A71">
          <w:rPr>
            <w:rFonts w:ascii="Times New Roman" w:hAnsi="Times New Roman" w:cs="Times New Roman"/>
            <w:noProof/>
            <w:sz w:val="24"/>
            <w:szCs w:val="24"/>
          </w:rPr>
          <w:fldChar w:fldCharType="end"/>
        </w:r>
      </w:sdtContent>
    </w:sdt>
  </w:p>
  <w:p w:rsidR="00210A71" w:rsidRDefault="00210A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A71" w:rsidRPr="00210A71" w:rsidRDefault="00210A71">
    <w:pPr>
      <w:pStyle w:val="Header"/>
      <w:rPr>
        <w:rFonts w:ascii="Times New Roman" w:hAnsi="Times New Roman" w:cs="Times New Roman"/>
        <w:sz w:val="24"/>
        <w:szCs w:val="24"/>
      </w:rPr>
    </w:pPr>
    <w:r w:rsidRPr="00210A71">
      <w:rPr>
        <w:rFonts w:ascii="Times New Roman" w:hAnsi="Times New Roman" w:cs="Times New Roman"/>
        <w:sz w:val="24"/>
        <w:szCs w:val="24"/>
      </w:rPr>
      <w:t>Running head: ETHICAL COLLAPSE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U0MjKwMDU3MTMyNTNT0lEKTi0uzszPAykwqgUAP9GMmiwAAAA="/>
  </w:docVars>
  <w:rsids>
    <w:rsidRoot w:val="00A260B3"/>
    <w:rsid w:val="0001470B"/>
    <w:rsid w:val="00063548"/>
    <w:rsid w:val="001022F4"/>
    <w:rsid w:val="001038BA"/>
    <w:rsid w:val="00181116"/>
    <w:rsid w:val="00210A71"/>
    <w:rsid w:val="002A7423"/>
    <w:rsid w:val="002B43BC"/>
    <w:rsid w:val="002D254A"/>
    <w:rsid w:val="00402FE9"/>
    <w:rsid w:val="00537EA1"/>
    <w:rsid w:val="00556F17"/>
    <w:rsid w:val="00653824"/>
    <w:rsid w:val="00700111"/>
    <w:rsid w:val="00722DC2"/>
    <w:rsid w:val="00755D73"/>
    <w:rsid w:val="00884C6D"/>
    <w:rsid w:val="00897B9D"/>
    <w:rsid w:val="008A5DE1"/>
    <w:rsid w:val="00A260B3"/>
    <w:rsid w:val="00A81D8B"/>
    <w:rsid w:val="00BA5DA9"/>
    <w:rsid w:val="00CD49F4"/>
    <w:rsid w:val="00EA75F2"/>
    <w:rsid w:val="00EF3FE6"/>
    <w:rsid w:val="00F6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C6E0"/>
  <w15:chartTrackingRefBased/>
  <w15:docId w15:val="{C49953E6-297C-42F2-B1BE-DA323E31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A71"/>
  </w:style>
  <w:style w:type="paragraph" w:styleId="Footer">
    <w:name w:val="footer"/>
    <w:basedOn w:val="Normal"/>
    <w:link w:val="FooterChar"/>
    <w:uiPriority w:val="99"/>
    <w:unhideWhenUsed/>
    <w:rsid w:val="00210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2018-07-13T02:21:00Z</dcterms:created>
  <dcterms:modified xsi:type="dcterms:W3CDTF">2018-07-14T09:36:00Z</dcterms:modified>
</cp:coreProperties>
</file>